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5" w:rsidRDefault="00546195" w:rsidP="00546195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6195" w:rsidRDefault="00546195" w:rsidP="00546195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46195" w:rsidRDefault="00546195" w:rsidP="00546195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ind w:left="5103"/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от  24.05.2018  № 284/73</w:t>
      </w:r>
      <w:r>
        <w:rPr>
          <w:sz w:val="32"/>
          <w:szCs w:val="28"/>
        </w:rPr>
        <w:t xml:space="preserve">                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за </w:t>
      </w:r>
      <w:r>
        <w:rPr>
          <w:sz w:val="28"/>
          <w:szCs w:val="28"/>
        </w:rPr>
        <w:t>2017 год»</w:t>
      </w: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Доходы бюджета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</w:t>
      </w: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 2017 год по кодам классификации доходов бюджетов</w:t>
      </w: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6195" w:rsidRDefault="00546195" w:rsidP="005461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88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498"/>
        <w:gridCol w:w="1276"/>
        <w:gridCol w:w="2693"/>
        <w:gridCol w:w="1418"/>
      </w:tblGrid>
      <w:tr w:rsidR="00546195" w:rsidTr="00546195">
        <w:trPr>
          <w:trHeight w:val="645"/>
        </w:trPr>
        <w:tc>
          <w:tcPr>
            <w:tcW w:w="4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546195" w:rsidRDefault="00546195">
            <w:pPr>
              <w:spacing w:line="276" w:lineRule="auto"/>
              <w:jc w:val="center"/>
            </w:pPr>
            <w:r>
              <w:rPr>
                <w:b/>
              </w:rPr>
              <w:t>за 2017 год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195" w:rsidRDefault="005461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доходов местного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95" w:rsidRDefault="00546195"/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272116,8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14116,1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14116,1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1 03 02000 01 0000 110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14116,1</w:t>
            </w:r>
          </w:p>
        </w:tc>
      </w:tr>
      <w:tr w:rsidR="00546195" w:rsidTr="00546195">
        <w:trPr>
          <w:trHeight w:val="343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5800,3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</w:t>
            </w:r>
            <w: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58,9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9380,3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-1123,4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rPr>
                <w:b/>
                <w:bCs/>
              </w:rPr>
              <w:t>4,0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1 16 90050 13 0000 140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rPr>
                <w:b/>
                <w:bCs/>
              </w:rPr>
              <w:t>125,0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Денежные взыскания (штрафы) за нарушение </w:t>
            </w:r>
            <w:hyperlink r:id="rId5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1 16 33000 00 0000 140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Денежные взыскания (штрафы) за нарушение законодательства РФ о размещении заказов на поставки товаров, выполнение работ, оказание услуг для </w:t>
            </w:r>
            <w:r>
              <w:rPr>
                <w:bCs/>
              </w:rPr>
              <w:lastRenderedPageBreak/>
              <w:t xml:space="preserve">нужд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1 16 33050 13 0000 140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134886,5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73934,4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73934,4</w:t>
            </w:r>
          </w:p>
        </w:tc>
      </w:tr>
      <w:tr w:rsidR="00546195" w:rsidTr="00546195">
        <w:trPr>
          <w:trHeight w:val="343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rStyle w:val="a5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rStyle w:val="a5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rStyle w:val="a5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72392,3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1069,8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433,2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Налог на доходы с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39,1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5512,1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5512,1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5448,4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</w:pPr>
            <w:r>
              <w:t xml:space="preserve">Единый сельскохозяйственный налог (за налоговые периоды, истекшие до 1 </w:t>
            </w:r>
            <w:r>
              <w:lastRenderedPageBreak/>
              <w:t>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1 05 03020 01 0000 110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63,7</w:t>
            </w:r>
          </w:p>
        </w:tc>
      </w:tr>
      <w:tr w:rsidR="00546195" w:rsidTr="00546195">
        <w:trPr>
          <w:trHeight w:val="6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55440,0</w:t>
            </w:r>
          </w:p>
        </w:tc>
      </w:tr>
      <w:tr w:rsidR="00546195" w:rsidTr="00546195">
        <w:trPr>
          <w:trHeight w:val="35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16304,6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1 06 01030 13 0000 110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16304,6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39135,4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1 06 06033 13 0000 110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15111,3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1 06 06043 13 0000 110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24024,1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ДЕПАРТАМЕНТ ИМУЩЕСТВЕННЫХ ОТНОШЕНИЙ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1 16 51000 02 0000 140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1 16 51040 02 0000 140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1 16 18000 00 0000 140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46195" w:rsidTr="00546195">
        <w:trPr>
          <w:trHeight w:val="417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1 16 18050 13 0000 140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ЛАБИНСКОГО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122879,2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 xml:space="preserve">ДОХОДЫ ОТ ИСПОЛЬЗОВАНИЯ </w:t>
            </w:r>
            <w:r>
              <w:rPr>
                <w:b/>
                <w:bCs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32341,7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32055,5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городских</w:t>
            </w:r>
            <w:r>
              <w:rPr>
                <w:bCs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1 11 05013 13 0000 120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21348,5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1 11 05025 13 0000 120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1010,3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городских</w:t>
            </w:r>
            <w:r>
              <w:rPr>
                <w:bCs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1 11 05035 13 0000 120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46,3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Доходы от сдачи в аренду имущества, составляющего казну </w:t>
            </w:r>
            <w:r>
              <w:t>городских</w:t>
            </w:r>
            <w:r>
              <w:rPr>
                <w:bCs/>
              </w:rPr>
              <w:t xml:space="preserve"> поселений (за исключением земельных участков)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1 11 05075 13 0000 120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9650,4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Доходы от перечисления части прибыли, остающейся после уплаты налогов и </w:t>
            </w:r>
            <w:r>
              <w:rPr>
                <w:bCs/>
              </w:rPr>
              <w:lastRenderedPageBreak/>
              <w:t xml:space="preserve">иных обязательных платежей муниципальных унитарных предприятии, созданных </w:t>
            </w:r>
            <w:r>
              <w:t>городскими</w:t>
            </w:r>
            <w:r>
              <w:rPr>
                <w:bCs/>
              </w:rPr>
              <w:t xml:space="preserve">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1 11 07015 13 0000 120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286,2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2218,7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rStyle w:val="a4"/>
                <w:b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1 13 01000 00 0000 130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2114,7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Прочие доходы от оказания платных услуг (работ) получателями средств бюджетов</w:t>
            </w:r>
            <w:r>
              <w:t xml:space="preserve"> 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1 13 01995 13 0000 130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2114,7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rStyle w:val="a4"/>
                <w:b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1 13 02000 00 0000 130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104,0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Прочие доходы от компенсации затрат бюджетов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1 13 02995 13 0000 130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3266,8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1 14 06000 00 0000 430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3266,8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1 14 06013 13 0000 430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3266,8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389,7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1 16 90050 13 0000 140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389,7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84662,3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84474,3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2 02 20000 00 0000 151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83961,9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2 02 25555 13 0000 151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32735,1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Прочие субсидии бюджетам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2 02 29999 13 0000 151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51226,8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2 02 30024 13 0000 151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Прочие межбюджетные трансферты, передаваемые бюджетам </w:t>
            </w:r>
            <w:r>
              <w:t>городских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2 02 49999 13 0000 151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2 07 00000 00 0000 000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2 07 05030 13 0000 180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2 18 00000 00 0000 000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2 18 60010 13 0000 151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ВОЗВРАТ ОСТАТКОВ СУБСИДИЙ, СУБВЕНЦИЙ И ИНЫХ МЕЖБЮДЖЕТНЫХ </w:t>
            </w:r>
            <w:r>
              <w:rPr>
                <w:b/>
                <w:bCs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2 19 00000 00 0000 000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</w:tr>
      <w:tr w:rsidR="00546195" w:rsidTr="00546195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2 19 60010 13 0000 151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95" w:rsidRDefault="005461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</w:tr>
    </w:tbl>
    <w:p w:rsidR="00546195" w:rsidRDefault="00546195" w:rsidP="00546195">
      <w:pPr>
        <w:ind w:left="142" w:firstLine="709"/>
        <w:jc w:val="both"/>
        <w:rPr>
          <w:sz w:val="28"/>
          <w:szCs w:val="28"/>
        </w:rPr>
      </w:pPr>
    </w:p>
    <w:p w:rsidR="00546195" w:rsidRDefault="00546195" w:rsidP="00546195">
      <w:pPr>
        <w:ind w:left="142"/>
        <w:jc w:val="both"/>
        <w:rPr>
          <w:sz w:val="28"/>
          <w:szCs w:val="28"/>
        </w:rPr>
      </w:pPr>
    </w:p>
    <w:p w:rsidR="00546195" w:rsidRDefault="00546195" w:rsidP="0054619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46195" w:rsidRDefault="00546195" w:rsidP="0054619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46195" w:rsidRDefault="00546195" w:rsidP="0054619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Д.В.Шараускас</w:t>
      </w:r>
      <w:proofErr w:type="spellEnd"/>
    </w:p>
    <w:p w:rsidR="00071D53" w:rsidRDefault="00071D53"/>
    <w:sectPr w:rsidR="000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6"/>
    <w:rsid w:val="00071D53"/>
    <w:rsid w:val="00512096"/>
    <w:rsid w:val="005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1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19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61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546195"/>
    <w:rPr>
      <w:b/>
      <w:bCs w:val="0"/>
      <w:color w:val="000080"/>
      <w14:textFill>
        <w14:solidFill>
          <w14:srgbClr w14:val="000000"/>
        </w14:solidFill>
      </w14:textFill>
    </w:rPr>
  </w:style>
  <w:style w:type="character" w:styleId="a5">
    <w:name w:val="Hyperlink"/>
    <w:basedOn w:val="a0"/>
    <w:uiPriority w:val="99"/>
    <w:semiHidden/>
    <w:unhideWhenUsed/>
    <w:rsid w:val="00546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1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19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61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546195"/>
    <w:rPr>
      <w:b/>
      <w:bCs w:val="0"/>
      <w:color w:val="000080"/>
      <w14:textFill>
        <w14:solidFill>
          <w14:srgbClr w14:val="000000"/>
        </w14:solidFill>
      </w14:textFill>
    </w:rPr>
  </w:style>
  <w:style w:type="character" w:styleId="a5">
    <w:name w:val="Hyperlink"/>
    <w:basedOn w:val="a0"/>
    <w:uiPriority w:val="99"/>
    <w:semiHidden/>
    <w:unhideWhenUsed/>
    <w:rsid w:val="0054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7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227/" TargetMode="External"/><Relationship Id="rId5" Type="http://schemas.openxmlformats.org/officeDocument/2006/relationships/hyperlink" Target="garantf1://12041175.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2018-06-01T05:06:00Z</dcterms:created>
  <dcterms:modified xsi:type="dcterms:W3CDTF">2018-06-01T05:07:00Z</dcterms:modified>
</cp:coreProperties>
</file>