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C3" w:rsidRPr="004A7FC3" w:rsidRDefault="00F75C4F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41020"/>
            <wp:effectExtent l="0" t="0" r="381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6E9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  <w:r w:rsidR="00E86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5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1137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О введении режима функционирования «Повышенная готовность»</w:t>
      </w: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края»,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Лабинского района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года № </w:t>
      </w:r>
      <w:r w:rsidR="00E86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оперативного реагирования на возникновение  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9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предупреждения возникновения и развития чрезвычайной ситуации, вызванной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неблагоприятными метеорологическими условиями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с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до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00 минут                     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для органов управления, сил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режим функционирования «Повышенная готовность».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Отделу по делам гражданской обороны и чрезвычайным </w:t>
      </w:r>
      <w:proofErr w:type="gramStart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ситуациям  администрации</w:t>
      </w:r>
      <w:proofErr w:type="gramEnd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Лабинского городского поселения Лабинского района (Копанев):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обеспечить координацию действий сил и средств, а также контроль за развитием ситуации на территории Лабинского городского поселения Лабинского района;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готовность пунктов временного размещения; 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постоянный контроль за складывающейся обстановкой, организовать дежурство в администрации Лабинского городского поселения Лабинского района для принятия экстренных мер;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оповещение и информирование населения, организаций на территории поселения о введении режима функционирования «Повышенная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готовность» и о складывающейся обстановке, обеспечить постоянную готовность системы оповещения и информирования.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Утвердить состав оперативной группы при 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(прилагается).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независимо от форм собственности: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C55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A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и обеспечить готовность аварийных бригад к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реагированию на аварии на объектах жизнеобеспечения и в системах энергоснабжения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в готовность к действию все имеющиеся в наличии специальную и тяжелую технику к проведению аварийно-спасательных и других неотложных работ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дополнительного распоряжения организовать круглосуточное дежурство водительского состава на дежурной технике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56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в готовность к использованию все технические средства по откачке воды (насосы, помпы и т.д.)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7FC3" w:rsidRPr="004A7FC3" w:rsidRDefault="00C556E9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A7FC3" w:rsidRPr="004A7FC3">
        <w:rPr>
          <w:rFonts w:ascii="Times New Roman" w:hAnsi="Times New Roman" w:cs="Times New Roman"/>
          <w:sz w:val="28"/>
          <w:szCs w:val="28"/>
        </w:rPr>
        <w:t>Рекомендовать муниципальному унитарному предприятию «Водоканал» Лабинского городского поселения Лабинского района (</w:t>
      </w:r>
      <w:r w:rsidR="002A3BCA">
        <w:rPr>
          <w:rFonts w:ascii="Times New Roman" w:hAnsi="Times New Roman" w:cs="Times New Roman"/>
          <w:sz w:val="28"/>
          <w:szCs w:val="28"/>
        </w:rPr>
        <w:t>Путинцев</w:t>
      </w:r>
      <w:r w:rsidR="004A7FC3" w:rsidRPr="004A7FC3">
        <w:rPr>
          <w:rFonts w:ascii="Times New Roman" w:hAnsi="Times New Roman" w:cs="Times New Roman"/>
          <w:sz w:val="28"/>
          <w:szCs w:val="28"/>
        </w:rPr>
        <w:t>), муниципальному унитарному предприятию «Санитарная очистка» Лабинского городского поселения Лабинского района (</w:t>
      </w:r>
      <w:r w:rsidR="005D7E4E">
        <w:rPr>
          <w:rFonts w:ascii="Times New Roman" w:hAnsi="Times New Roman" w:cs="Times New Roman"/>
          <w:sz w:val="28"/>
          <w:szCs w:val="28"/>
        </w:rPr>
        <w:t>Тит</w:t>
      </w:r>
      <w:r w:rsidR="00FE31F7">
        <w:rPr>
          <w:rFonts w:ascii="Times New Roman" w:hAnsi="Times New Roman" w:cs="Times New Roman"/>
          <w:sz w:val="28"/>
          <w:szCs w:val="28"/>
        </w:rPr>
        <w:t>а</w:t>
      </w:r>
      <w:r w:rsidR="005D7E4E">
        <w:rPr>
          <w:rFonts w:ascii="Times New Roman" w:hAnsi="Times New Roman" w:cs="Times New Roman"/>
          <w:sz w:val="28"/>
          <w:szCs w:val="28"/>
        </w:rPr>
        <w:t>ренко</w:t>
      </w:r>
      <w:r w:rsidR="004A7FC3" w:rsidRPr="004A7FC3">
        <w:rPr>
          <w:rFonts w:ascii="Times New Roman" w:hAnsi="Times New Roman" w:cs="Times New Roman"/>
          <w:sz w:val="28"/>
          <w:szCs w:val="28"/>
        </w:rPr>
        <w:t>), муниципальному унитарному предприятию «Тепловые сети» Лабинского городского поселения Лабинского района (</w:t>
      </w:r>
      <w:r w:rsidR="005D7E4E">
        <w:rPr>
          <w:rFonts w:ascii="Times New Roman" w:hAnsi="Times New Roman" w:cs="Times New Roman"/>
          <w:sz w:val="28"/>
          <w:szCs w:val="28"/>
        </w:rPr>
        <w:t>Стаценко</w:t>
      </w:r>
      <w:r w:rsidR="004A7FC3" w:rsidRPr="004A7FC3">
        <w:rPr>
          <w:rFonts w:ascii="Times New Roman" w:hAnsi="Times New Roman" w:cs="Times New Roman"/>
          <w:sz w:val="28"/>
          <w:szCs w:val="28"/>
        </w:rPr>
        <w:t>), муниципальному казенному учреждению «Управление коммунального хозяйства Лабинского городского поселения Лабинского района» (Епремидзе), НАО «Лабинское дорожно-строительное управление» (</w:t>
      </w:r>
      <w:proofErr w:type="spellStart"/>
      <w:r w:rsidR="004A7FC3" w:rsidRPr="004A7FC3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4A7FC3" w:rsidRPr="004A7FC3">
        <w:rPr>
          <w:rFonts w:ascii="Times New Roman" w:hAnsi="Times New Roman" w:cs="Times New Roman"/>
          <w:sz w:val="28"/>
          <w:szCs w:val="28"/>
        </w:rPr>
        <w:t>) подготовить грузовой транспорт, тракторную технику  муниципальных унитарных предприятий Лабинского городского поселения Лабинского района к перевозке ГПС в районы подверженные возможному затоплению, для проведения берегоукрепительных работ.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акционерному обществу «НЭСК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-электросети 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Лабинскэлектросет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(Комисарова), публичному акционерному обществу «Кубаньэнерго» (</w:t>
      </w:r>
      <w:r w:rsid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Каверзнев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акционерному обществу «Газпром газораспределение Краснодар» филиал № 8 (</w:t>
      </w:r>
      <w:r w:rsidR="00E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«Тепловые сети» Лабинского городского поселения Лабинского района (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Стаценко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«Водоканал» г. Лабинск, (</w:t>
      </w:r>
      <w:r w:rsid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«Санитарная очистка» Лабинского городского поселения Лабинского района (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3">
        <w:rPr>
          <w:rFonts w:ascii="Times New Roman" w:hAnsi="Times New Roman" w:cs="Times New Roman"/>
          <w:sz w:val="28"/>
          <w:szCs w:val="28"/>
        </w:rPr>
        <w:t>1)</w:t>
      </w:r>
      <w:r w:rsidRPr="004A7FC3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безаварийной работы объектов энергетики, жилищно-коммунального и дорожного хозяйства; 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</w:rPr>
        <w:t>2)</w:t>
      </w:r>
      <w:r w:rsidRPr="004A7FC3">
        <w:rPr>
          <w:rFonts w:ascii="Times New Roman" w:hAnsi="Times New Roman" w:cs="Times New Roman"/>
          <w:sz w:val="28"/>
          <w:szCs w:val="28"/>
        </w:rPr>
        <w:tab/>
        <w:t xml:space="preserve">проверить работоспособность и определить порядок задействования резервных мощностей </w:t>
      </w:r>
      <w:proofErr w:type="spellStart"/>
      <w:r w:rsidRPr="004A7FC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7FC3">
        <w:rPr>
          <w:rFonts w:ascii="Times New Roman" w:hAnsi="Times New Roman" w:cs="Times New Roman"/>
          <w:sz w:val="28"/>
          <w:szCs w:val="28"/>
        </w:rPr>
        <w:t>, водо-, электроснабжения, связи, телекоммуникационных систем на основных объектах жизнедеятельности.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сил постоянной готовности обеспечить готовность личного состава, техники и специальных средств к проведению мероприятии по ликвидации возможных чрезвычайных ситуаций.</w:t>
      </w:r>
    </w:p>
    <w:p w:rsidR="004A7FC3" w:rsidRPr="004A7FC3" w:rsidRDefault="004A7FC3" w:rsidP="00D874B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6"/>
      <w:bookmarkEnd w:id="2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FE31F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С.В. Шеремет</w:t>
      </w:r>
      <w:r w:rsidRPr="004A7FC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подписания.</w:t>
      </w:r>
    </w:p>
    <w:p w:rsidR="004A7FC3" w:rsidRPr="004A7FC3" w:rsidRDefault="004A7FC3" w:rsidP="00D8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D8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18" w:rsidRDefault="00E86B18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A7FC3" w:rsidRPr="004A7FC3" w:rsidRDefault="00E86B18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A7FC3" w:rsidRPr="004A7FC3" w:rsidRDefault="004A7FC3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Манаков</w:t>
      </w:r>
    </w:p>
    <w:bookmarkEnd w:id="3"/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A3BCA" w:rsidRDefault="002A3BCA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P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4A7FC3">
        <w:rPr>
          <w:rFonts w:ascii="Times New Roman" w:eastAsia="Calibri" w:hAnsi="Times New Roman" w:cs="Times New Roman"/>
          <w:b/>
          <w:sz w:val="29"/>
          <w:szCs w:val="29"/>
        </w:rPr>
        <w:t>ЛИСТ СОГЛАСОВАНИЯ</w:t>
      </w:r>
    </w:p>
    <w:p w:rsidR="004A7FC3" w:rsidRP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FC3">
        <w:rPr>
          <w:rFonts w:ascii="Times New Roman" w:eastAsia="Calibri" w:hAnsi="Times New Roman" w:cs="Times New Roman"/>
          <w:sz w:val="28"/>
          <w:szCs w:val="28"/>
        </w:rPr>
        <w:lastRenderedPageBreak/>
        <w:t>проекта постановления администрации</w:t>
      </w:r>
    </w:p>
    <w:p w:rsidR="004A7FC3" w:rsidRP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FC3">
        <w:rPr>
          <w:rFonts w:ascii="Times New Roman" w:eastAsia="Calibri" w:hAnsi="Times New Roman" w:cs="Times New Roman"/>
          <w:sz w:val="28"/>
          <w:szCs w:val="28"/>
        </w:rPr>
        <w:t>Лабинского городского поселения Лабинского района</w:t>
      </w:r>
    </w:p>
    <w:p w:rsidR="004A7FC3" w:rsidRP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FC3">
        <w:rPr>
          <w:rFonts w:ascii="Times New Roman" w:eastAsia="Calibri" w:hAnsi="Times New Roman" w:cs="Times New Roman"/>
          <w:sz w:val="28"/>
          <w:szCs w:val="28"/>
        </w:rPr>
        <w:t>от __________________ № ______________</w:t>
      </w:r>
    </w:p>
    <w:p w:rsidR="004A7FC3" w:rsidRPr="004A7FC3" w:rsidRDefault="004A7FC3" w:rsidP="004A7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 w:rsidRPr="004A7FC3">
        <w:rPr>
          <w:rFonts w:ascii="Times New Roman" w:eastAsia="Calibri" w:hAnsi="Times New Roman" w:cs="Times New Roman"/>
          <w:sz w:val="28"/>
          <w:szCs w:val="28"/>
        </w:rPr>
        <w:t>«</w:t>
      </w:r>
      <w:r w:rsidRPr="004A7FC3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О введении режима функционирования «Повышенная готовность» </w:t>
      </w:r>
    </w:p>
    <w:p w:rsidR="004A7FC3" w:rsidRPr="004A7FC3" w:rsidRDefault="004A7FC3" w:rsidP="004A7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района»</w:t>
      </w:r>
    </w:p>
    <w:p w:rsidR="004A7FC3" w:rsidRPr="004A7FC3" w:rsidRDefault="004A7FC3" w:rsidP="004A7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FC3" w:rsidRPr="004A7FC3" w:rsidRDefault="004A7FC3" w:rsidP="004A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976"/>
        <w:gridCol w:w="2044"/>
        <w:gridCol w:w="42"/>
        <w:gridCol w:w="2509"/>
      </w:tblGrid>
      <w:tr w:rsidR="004A7FC3" w:rsidRPr="004A7FC3" w:rsidTr="00A368C2">
        <w:tc>
          <w:tcPr>
            <w:tcW w:w="4976" w:type="dxa"/>
            <w:hideMark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4A7FC3" w:rsidRPr="004A7FC3" w:rsidRDefault="00E86B18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D8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A7FC3"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 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FC3" w:rsidRPr="004A7FC3" w:rsidRDefault="00FE31F7" w:rsidP="00E8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Шеремет</w:t>
            </w:r>
          </w:p>
        </w:tc>
      </w:tr>
      <w:tr w:rsidR="004A7FC3" w:rsidRPr="004A7FC3" w:rsidTr="00A368C2">
        <w:tc>
          <w:tcPr>
            <w:tcW w:w="4976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4A7FC3" w:rsidRPr="004A7FC3" w:rsidRDefault="00FE31F7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7FC3"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делам ГО и ЧС администрации </w:t>
            </w:r>
          </w:p>
        </w:tc>
        <w:tc>
          <w:tcPr>
            <w:tcW w:w="2086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FC3" w:rsidRPr="004A7FC3" w:rsidRDefault="00FE31F7" w:rsidP="00E8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Копанев</w:t>
            </w:r>
          </w:p>
        </w:tc>
      </w:tr>
      <w:tr w:rsidR="004A7FC3" w:rsidRPr="004A7FC3" w:rsidTr="00A368C2">
        <w:tc>
          <w:tcPr>
            <w:tcW w:w="4976" w:type="dxa"/>
            <w:hideMark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086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FC3" w:rsidRPr="004A7FC3" w:rsidTr="00A368C2">
        <w:tc>
          <w:tcPr>
            <w:tcW w:w="4976" w:type="dxa"/>
            <w:hideMark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администрации  </w:t>
            </w:r>
          </w:p>
        </w:tc>
        <w:tc>
          <w:tcPr>
            <w:tcW w:w="2086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Переходько</w:t>
            </w:r>
          </w:p>
        </w:tc>
      </w:tr>
      <w:tr w:rsidR="00E86B18" w:rsidRPr="004A7FC3" w:rsidTr="00A368C2">
        <w:tc>
          <w:tcPr>
            <w:tcW w:w="4976" w:type="dxa"/>
          </w:tcPr>
          <w:p w:rsidR="00E86B18" w:rsidRPr="004A7FC3" w:rsidRDefault="00E86B18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E86B18" w:rsidRPr="004A7FC3" w:rsidRDefault="00E86B18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E86B18" w:rsidRPr="004A7FC3" w:rsidRDefault="00E86B18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FC3" w:rsidRPr="004A7FC3" w:rsidTr="00A368C2">
        <w:tc>
          <w:tcPr>
            <w:tcW w:w="4976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делопроизводства администрации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Переходько</w:t>
            </w:r>
          </w:p>
        </w:tc>
      </w:tr>
      <w:tr w:rsidR="004A7FC3" w:rsidRPr="004A7FC3" w:rsidTr="00A368C2">
        <w:tc>
          <w:tcPr>
            <w:tcW w:w="9571" w:type="dxa"/>
            <w:gridSpan w:val="4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FC3">
              <w:rPr>
                <w:rFonts w:ascii="Times New Roman" w:eastAsia="Calibri" w:hAnsi="Times New Roman" w:cs="Times New Roman"/>
                <w:sz w:val="28"/>
                <w:szCs w:val="28"/>
              </w:rPr>
              <w:t>Заявка на рассылку: управление по делам ГО и ЧС администрации муниципального образования Лабинский район, отдел по делам ГО и ЧС администрации, отдел делопроизводства администрации, отдел Управления ФСБ Краснодарского края в г. Лабинске, предприятия, организации, учреждения – согласно реестру рассылки, Лабинская межрайонная прокуратура.</w:t>
            </w:r>
          </w:p>
        </w:tc>
      </w:tr>
      <w:tr w:rsidR="004A7FC3" w:rsidRPr="004A7FC3" w:rsidTr="00A368C2">
        <w:tc>
          <w:tcPr>
            <w:tcW w:w="7020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7FC3" w:rsidRPr="004A7FC3" w:rsidTr="00A368C2">
        <w:tc>
          <w:tcPr>
            <w:tcW w:w="7020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FC3">
              <w:rPr>
                <w:rFonts w:ascii="Times New Roman" w:eastAsia="Calibri" w:hAnsi="Times New Roman" w:cs="Times New Roman"/>
                <w:sz w:val="28"/>
                <w:szCs w:val="28"/>
              </w:rPr>
              <w:t>Заявку составил:</w:t>
            </w:r>
          </w:p>
        </w:tc>
        <w:tc>
          <w:tcPr>
            <w:tcW w:w="2551" w:type="dxa"/>
            <w:gridSpan w:val="2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1F7" w:rsidRPr="004A7FC3" w:rsidTr="00A368C2">
        <w:tc>
          <w:tcPr>
            <w:tcW w:w="7020" w:type="dxa"/>
            <w:gridSpan w:val="2"/>
          </w:tcPr>
          <w:p w:rsidR="00FE31F7" w:rsidRPr="004A7FC3" w:rsidRDefault="00FE31F7" w:rsidP="00FE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</w:p>
          <w:p w:rsidR="00FE31F7" w:rsidRPr="004A7FC3" w:rsidRDefault="00FE31F7" w:rsidP="00FE31F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ГО и ЧС администрации</w:t>
            </w:r>
          </w:p>
        </w:tc>
        <w:tc>
          <w:tcPr>
            <w:tcW w:w="2551" w:type="dxa"/>
            <w:gridSpan w:val="2"/>
          </w:tcPr>
          <w:p w:rsidR="00FE31F7" w:rsidRPr="004A7FC3" w:rsidRDefault="00FE31F7" w:rsidP="00FE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1F7" w:rsidRPr="004A7FC3" w:rsidRDefault="00FE31F7" w:rsidP="00FE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Копанев</w:t>
            </w:r>
          </w:p>
        </w:tc>
      </w:tr>
    </w:tbl>
    <w:p w:rsidR="004A7FC3" w:rsidRPr="004A7FC3" w:rsidRDefault="004A7FC3" w:rsidP="004A7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C3" w:rsidRPr="004A7FC3" w:rsidRDefault="004A7FC3" w:rsidP="004A7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A7FC3" w:rsidRPr="004A7FC3" w:rsidSect="00C556E9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4A7FC3" w:rsidRPr="004A7FC3" w:rsidRDefault="004A7FC3" w:rsidP="004A7FC3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31F7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EA4FEC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E31F7">
        <w:rPr>
          <w:rFonts w:ascii="Times New Roman" w:eastAsia="Times New Roman" w:hAnsi="Times New Roman" w:cs="Times New Roman"/>
          <w:sz w:val="28"/>
          <w:szCs w:val="28"/>
        </w:rPr>
        <w:t>1137</w:t>
      </w: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5"/>
        <w:gridCol w:w="310"/>
        <w:gridCol w:w="6216"/>
      </w:tblGrid>
      <w:tr w:rsidR="004A7FC3" w:rsidRPr="004A7FC3" w:rsidTr="00D874BF">
        <w:tc>
          <w:tcPr>
            <w:tcW w:w="3255" w:type="dxa"/>
          </w:tcPr>
          <w:p w:rsidR="00E86B18" w:rsidRDefault="00FE31F7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</w:p>
          <w:p w:rsidR="00FE31F7" w:rsidRPr="004A7FC3" w:rsidRDefault="00FE31F7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Pr="004A7FC3" w:rsidRDefault="004A7FC3" w:rsidP="00E86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4A7FC3">
              <w:rPr>
                <w:rFonts w:ascii="Times New Roman" w:hAnsi="Times New Roman"/>
                <w:sz w:val="28"/>
                <w:szCs w:val="28"/>
                <w:lang w:eastAsia="ru-RU" w:bidi="en-US"/>
              </w:rPr>
              <w:t>;</w:t>
            </w:r>
          </w:p>
        </w:tc>
      </w:tr>
      <w:tr w:rsidR="004A7FC3" w:rsidRPr="004A7FC3" w:rsidTr="00D874BF">
        <w:tc>
          <w:tcPr>
            <w:tcW w:w="3255" w:type="dxa"/>
          </w:tcPr>
          <w:p w:rsidR="00E86B18" w:rsidRPr="004A7FC3" w:rsidRDefault="00E86B18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FC3" w:rsidRPr="004A7FC3" w:rsidTr="00D874BF">
        <w:tc>
          <w:tcPr>
            <w:tcW w:w="3255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Переходько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FC3" w:rsidRPr="004A7FC3" w:rsidTr="00D874BF">
        <w:tc>
          <w:tcPr>
            <w:tcW w:w="3255" w:type="dxa"/>
          </w:tcPr>
          <w:p w:rsidR="00AA3F1B" w:rsidRDefault="00FE31F7" w:rsidP="00D8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Колыхайлов</w:t>
            </w:r>
          </w:p>
          <w:p w:rsidR="00FE31F7" w:rsidRPr="004A7FC3" w:rsidRDefault="00FE31F7" w:rsidP="00D8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Default="00FE31F7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AA3F1B">
              <w:rPr>
                <w:rFonts w:ascii="Times New Roman" w:hAnsi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по организационной работе администрации.</w:t>
            </w:r>
          </w:p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FC3" w:rsidRDefault="004A7FC3" w:rsidP="00D87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3F1B" w:rsidRPr="00D874BF" w:rsidRDefault="00AA3F1B" w:rsidP="00D87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D874BF" w:rsidRDefault="00E86B18" w:rsidP="00AA3F1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Заместитель главы </w:t>
      </w:r>
      <w:r w:rsidR="004A7FC3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                                                  </w:t>
      </w:r>
      <w:r w:rsidR="00D874BF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E3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С.В. Шеремет</w:t>
      </w:r>
    </w:p>
    <w:p w:rsidR="004A7FC3" w:rsidRPr="00D874BF" w:rsidRDefault="004A7FC3" w:rsidP="00D87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F4" w:rsidRPr="00D874BF" w:rsidRDefault="00C645F4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5F4" w:rsidRPr="00D874BF" w:rsidSect="00125067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69" w:rsidRDefault="00CE6669">
      <w:pPr>
        <w:spacing w:after="0" w:line="240" w:lineRule="auto"/>
      </w:pPr>
      <w:r>
        <w:separator/>
      </w:r>
    </w:p>
  </w:endnote>
  <w:endnote w:type="continuationSeparator" w:id="0">
    <w:p w:rsidR="00CE6669" w:rsidRDefault="00C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69" w:rsidRDefault="00CE6669">
      <w:pPr>
        <w:spacing w:after="0" w:line="240" w:lineRule="auto"/>
      </w:pPr>
      <w:r>
        <w:separator/>
      </w:r>
    </w:p>
  </w:footnote>
  <w:footnote w:type="continuationSeparator" w:id="0">
    <w:p w:rsidR="00CE6669" w:rsidRDefault="00C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B" w:rsidRPr="00E450B1" w:rsidRDefault="00A368C2" w:rsidP="00593F10">
    <w:pPr>
      <w:pStyle w:val="a3"/>
      <w:jc w:val="center"/>
      <w:rPr>
        <w:rFonts w:ascii="Times New Roman" w:hAnsi="Times New Roman"/>
        <w:sz w:val="28"/>
        <w:szCs w:val="28"/>
      </w:rPr>
    </w:pPr>
    <w:r w:rsidRPr="00E450B1">
      <w:rPr>
        <w:rFonts w:ascii="Times New Roman" w:hAnsi="Times New Roman"/>
        <w:sz w:val="28"/>
        <w:szCs w:val="28"/>
      </w:rPr>
      <w:fldChar w:fldCharType="begin"/>
    </w:r>
    <w:r w:rsidRPr="00E450B1">
      <w:rPr>
        <w:rFonts w:ascii="Times New Roman" w:hAnsi="Times New Roman"/>
        <w:sz w:val="28"/>
        <w:szCs w:val="28"/>
      </w:rPr>
      <w:instrText xml:space="preserve"> PAGE   \* MERGEFORMAT </w:instrText>
    </w:r>
    <w:r w:rsidRPr="00E450B1">
      <w:rPr>
        <w:rFonts w:ascii="Times New Roman" w:hAnsi="Times New Roman"/>
        <w:sz w:val="28"/>
        <w:szCs w:val="28"/>
      </w:rPr>
      <w:fldChar w:fldCharType="separate"/>
    </w:r>
    <w:r w:rsidR="00F75C4F">
      <w:rPr>
        <w:rFonts w:ascii="Times New Roman" w:hAnsi="Times New Roman"/>
        <w:noProof/>
        <w:sz w:val="28"/>
        <w:szCs w:val="28"/>
      </w:rPr>
      <w:t>4</w:t>
    </w:r>
    <w:r w:rsidRPr="00E450B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3"/>
    <w:rsid w:val="001966B4"/>
    <w:rsid w:val="002A3BCA"/>
    <w:rsid w:val="003143AB"/>
    <w:rsid w:val="004A7FC3"/>
    <w:rsid w:val="005A0198"/>
    <w:rsid w:val="005D7E4E"/>
    <w:rsid w:val="008F00AE"/>
    <w:rsid w:val="009E40E8"/>
    <w:rsid w:val="00A368C2"/>
    <w:rsid w:val="00AA3F1B"/>
    <w:rsid w:val="00AF74BE"/>
    <w:rsid w:val="00C556E9"/>
    <w:rsid w:val="00C645F4"/>
    <w:rsid w:val="00CE6669"/>
    <w:rsid w:val="00D874BF"/>
    <w:rsid w:val="00E86B18"/>
    <w:rsid w:val="00EA4FEC"/>
    <w:rsid w:val="00F2340D"/>
    <w:rsid w:val="00F75C4F"/>
    <w:rsid w:val="00FE04AC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9944-F1F2-4C8B-9E88-8BFD327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FC3"/>
  </w:style>
  <w:style w:type="paragraph" w:styleId="a5">
    <w:name w:val="Balloon Text"/>
    <w:basedOn w:val="a"/>
    <w:link w:val="a6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2018-10-26T06:06:00Z</cp:lastPrinted>
  <dcterms:created xsi:type="dcterms:W3CDTF">2018-10-25T15:14:00Z</dcterms:created>
  <dcterms:modified xsi:type="dcterms:W3CDTF">2018-10-26T06:27:00Z</dcterms:modified>
</cp:coreProperties>
</file>